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AE2893" w14:paraId="15BF0869" w14:textId="77777777" w:rsidTr="00AE2893">
        <w:tc>
          <w:tcPr>
            <w:tcW w:w="1581" w:type="dxa"/>
          </w:tcPr>
          <w:p w14:paraId="15BF0867" w14:textId="108BD3C3" w:rsidR="00AE2893" w:rsidRDefault="00AE2893" w:rsidP="00AE2893">
            <w:r>
              <w:t>Last updated:</w:t>
            </w:r>
          </w:p>
        </w:tc>
        <w:tc>
          <w:tcPr>
            <w:tcW w:w="8056" w:type="dxa"/>
          </w:tcPr>
          <w:p w14:paraId="15BF0868" w14:textId="208BE392" w:rsidR="00AE2893" w:rsidRDefault="00CC744A" w:rsidP="00AE2893">
            <w:r>
              <w:t>April</w:t>
            </w:r>
            <w:r w:rsidR="009A77AA">
              <w:t xml:space="preserve"> </w:t>
            </w:r>
            <w:r w:rsidR="005B68D5">
              <w:t>202</w:t>
            </w:r>
            <w:r w:rsidR="009A77AA">
              <w:t>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0"/>
        <w:gridCol w:w="4549"/>
        <w:gridCol w:w="845"/>
        <w:gridCol w:w="1723"/>
      </w:tblGrid>
      <w:tr w:rsidR="0012209D" w14:paraId="15BF086F" w14:textId="77777777" w:rsidTr="13E7E1DD">
        <w:tc>
          <w:tcPr>
            <w:tcW w:w="2510" w:type="dxa"/>
            <w:shd w:val="clear" w:color="auto" w:fill="D9D9D9" w:themeFill="background1" w:themeFillShade="D9"/>
          </w:tcPr>
          <w:p w14:paraId="15BF086D" w14:textId="77777777" w:rsidR="0012209D" w:rsidRDefault="0012209D" w:rsidP="00280050">
            <w:r>
              <w:t>Post title:</w:t>
            </w:r>
          </w:p>
        </w:tc>
        <w:tc>
          <w:tcPr>
            <w:tcW w:w="7117" w:type="dxa"/>
            <w:gridSpan w:val="3"/>
          </w:tcPr>
          <w:p w14:paraId="15BF086E" w14:textId="486A59C1" w:rsidR="00C17FDD" w:rsidRPr="00756837" w:rsidRDefault="00AC0646" w:rsidP="0065560D">
            <w:pPr>
              <w:rPr>
                <w:b/>
                <w:bCs/>
              </w:rPr>
            </w:pPr>
            <w:r w:rsidRPr="00AC0646">
              <w:rPr>
                <w:b/>
                <w:bCs/>
              </w:rPr>
              <w:t xml:space="preserve">Director </w:t>
            </w:r>
            <w:r>
              <w:rPr>
                <w:b/>
                <w:bCs/>
              </w:rPr>
              <w:t xml:space="preserve">of Estates </w:t>
            </w:r>
            <w:r w:rsidRPr="00AC0646">
              <w:rPr>
                <w:b/>
                <w:bCs/>
              </w:rPr>
              <w:t>Programme Management, Business &amp; Support Services</w:t>
            </w:r>
          </w:p>
        </w:tc>
      </w:tr>
      <w:tr w:rsidR="009C1EC5" w14:paraId="4C8A120C" w14:textId="77777777" w:rsidTr="13E7E1DD">
        <w:tc>
          <w:tcPr>
            <w:tcW w:w="2510" w:type="dxa"/>
            <w:shd w:val="clear" w:color="auto" w:fill="D9D9D9" w:themeFill="background1" w:themeFillShade="D9"/>
          </w:tcPr>
          <w:p w14:paraId="356B3446" w14:textId="2046BC22" w:rsidR="009C1EC5" w:rsidRDefault="009C1EC5" w:rsidP="00280050">
            <w:r>
              <w:rPr>
                <w:rStyle w:val="normaltextrun"/>
                <w:color w:val="000000"/>
                <w:szCs w:val="18"/>
                <w:shd w:val="clear" w:color="auto" w:fill="D9D9D9"/>
              </w:rPr>
              <w:t>Standard Occupation Code: (UKVI SOC CODE)</w:t>
            </w:r>
            <w:r>
              <w:rPr>
                <w:rStyle w:val="eop"/>
                <w:color w:val="000000"/>
                <w:szCs w:val="18"/>
                <w:shd w:val="clear" w:color="auto" w:fill="D9D9D9"/>
              </w:rPr>
              <w:t> </w:t>
            </w:r>
          </w:p>
        </w:tc>
        <w:tc>
          <w:tcPr>
            <w:tcW w:w="7117" w:type="dxa"/>
            <w:gridSpan w:val="3"/>
          </w:tcPr>
          <w:p w14:paraId="6CC13E90" w14:textId="28650F6D" w:rsidR="009C1EC5" w:rsidRDefault="008310F4" w:rsidP="00280050">
            <w:r>
              <w:t>2424</w:t>
            </w:r>
          </w:p>
        </w:tc>
      </w:tr>
      <w:tr w:rsidR="0012209D" w14:paraId="15BF0875" w14:textId="77777777" w:rsidTr="13E7E1DD">
        <w:tc>
          <w:tcPr>
            <w:tcW w:w="2510" w:type="dxa"/>
            <w:shd w:val="clear" w:color="auto" w:fill="D9D9D9" w:themeFill="background1" w:themeFillShade="D9"/>
          </w:tcPr>
          <w:p w14:paraId="15BF0873" w14:textId="018DD42D" w:rsidR="0012209D" w:rsidRDefault="00CD78B9" w:rsidP="00280050">
            <w:r>
              <w:t>School/Department</w:t>
            </w:r>
            <w:r w:rsidR="0012209D">
              <w:t>:</w:t>
            </w:r>
          </w:p>
        </w:tc>
        <w:tc>
          <w:tcPr>
            <w:tcW w:w="7117" w:type="dxa"/>
            <w:gridSpan w:val="3"/>
          </w:tcPr>
          <w:p w14:paraId="15BF0874" w14:textId="3D56080D" w:rsidR="0012209D" w:rsidRDefault="00EF630D" w:rsidP="00280050">
            <w:r>
              <w:t>Estates</w:t>
            </w:r>
            <w:r w:rsidR="004308F3">
              <w:t xml:space="preserve"> and Facilities</w:t>
            </w:r>
          </w:p>
        </w:tc>
      </w:tr>
      <w:tr w:rsidR="0012209D" w14:paraId="15BF087A" w14:textId="77777777" w:rsidTr="13E7E1DD">
        <w:tc>
          <w:tcPr>
            <w:tcW w:w="2510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549" w:type="dxa"/>
          </w:tcPr>
          <w:p w14:paraId="15BF0877" w14:textId="599B6633" w:rsidR="0012209D" w:rsidRDefault="00E37792" w:rsidP="00FF246F">
            <w:r>
              <w:t>Management, Specialist and Administrative (MSA)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5BF0878" w14:textId="77777777" w:rsidR="0012209D" w:rsidRDefault="0012209D" w:rsidP="00280050">
            <w:r>
              <w:t>Level:</w:t>
            </w:r>
          </w:p>
        </w:tc>
        <w:tc>
          <w:tcPr>
            <w:tcW w:w="1723" w:type="dxa"/>
          </w:tcPr>
          <w:p w14:paraId="15BF0879" w14:textId="3F99814F" w:rsidR="0012209D" w:rsidRDefault="00573785" w:rsidP="00280050">
            <w:r>
              <w:t>7</w:t>
            </w:r>
          </w:p>
        </w:tc>
      </w:tr>
      <w:tr w:rsidR="0012209D" w14:paraId="15BF0881" w14:textId="77777777" w:rsidTr="13E7E1DD">
        <w:tc>
          <w:tcPr>
            <w:tcW w:w="2510" w:type="dxa"/>
            <w:shd w:val="clear" w:color="auto" w:fill="D9D9D9" w:themeFill="background1" w:themeFillShade="D9"/>
          </w:tcPr>
          <w:p w14:paraId="15BF087F" w14:textId="77777777" w:rsidR="0012209D" w:rsidRDefault="0012209D" w:rsidP="00280050">
            <w:r>
              <w:t>Posts responsible to:</w:t>
            </w:r>
          </w:p>
        </w:tc>
        <w:tc>
          <w:tcPr>
            <w:tcW w:w="7117" w:type="dxa"/>
            <w:gridSpan w:val="3"/>
          </w:tcPr>
          <w:p w14:paraId="15BF0880" w14:textId="64E53781" w:rsidR="0012209D" w:rsidRPr="005508A2" w:rsidRDefault="008449D9" w:rsidP="00280050">
            <w:r>
              <w:t>Executive Director of Estates &amp; Facilities</w:t>
            </w:r>
          </w:p>
        </w:tc>
      </w:tr>
      <w:tr w:rsidR="0012209D" w14:paraId="15BF0884" w14:textId="77777777" w:rsidTr="13E7E1DD">
        <w:tc>
          <w:tcPr>
            <w:tcW w:w="2510" w:type="dxa"/>
            <w:shd w:val="clear" w:color="auto" w:fill="D9D9D9" w:themeFill="background1" w:themeFillShade="D9"/>
          </w:tcPr>
          <w:p w14:paraId="15BF0882" w14:textId="77777777" w:rsidR="0012209D" w:rsidRDefault="0012209D" w:rsidP="00280050">
            <w:r>
              <w:t>Posts responsible for:</w:t>
            </w:r>
          </w:p>
        </w:tc>
        <w:tc>
          <w:tcPr>
            <w:tcW w:w="7117" w:type="dxa"/>
            <w:gridSpan w:val="3"/>
          </w:tcPr>
          <w:p w14:paraId="15BF0883" w14:textId="18C79694" w:rsidR="0012209D" w:rsidRPr="009A77AA" w:rsidRDefault="000A0445" w:rsidP="00280050">
            <w:pPr>
              <w:rPr>
                <w:i/>
                <w:iCs/>
              </w:rPr>
            </w:pPr>
            <w:r>
              <w:rPr>
                <w:i/>
                <w:iCs/>
              </w:rPr>
              <w:t>Level 6 Associate Director(s) – To be confirmed</w:t>
            </w:r>
          </w:p>
        </w:tc>
      </w:tr>
      <w:tr w:rsidR="0012209D" w14:paraId="15BF0887" w14:textId="77777777" w:rsidTr="13E7E1DD">
        <w:tc>
          <w:tcPr>
            <w:tcW w:w="2510" w:type="dxa"/>
            <w:shd w:val="clear" w:color="auto" w:fill="D9D9D9" w:themeFill="background1" w:themeFillShade="D9"/>
          </w:tcPr>
          <w:p w14:paraId="15BF0885" w14:textId="77777777" w:rsidR="0012209D" w:rsidRDefault="0012209D" w:rsidP="00280050">
            <w:r>
              <w:t>Post base:</w:t>
            </w:r>
          </w:p>
        </w:tc>
        <w:tc>
          <w:tcPr>
            <w:tcW w:w="7117" w:type="dxa"/>
            <w:gridSpan w:val="3"/>
          </w:tcPr>
          <w:p w14:paraId="15BF0886" w14:textId="7970995D" w:rsidR="0012209D" w:rsidRPr="005508A2" w:rsidRDefault="00F000EA" w:rsidP="00573785">
            <w:r>
              <w:t>Office-based</w:t>
            </w:r>
            <w:r w:rsidR="008449D9">
              <w:t>, with hybrid working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13E7E1DD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280050">
            <w:r>
              <w:t>Job purpose</w:t>
            </w:r>
          </w:p>
        </w:tc>
      </w:tr>
      <w:tr w:rsidR="0012209D" w14:paraId="15BF088C" w14:textId="77777777" w:rsidTr="13E7E1DD">
        <w:trPr>
          <w:trHeight w:val="1134"/>
        </w:trPr>
        <w:tc>
          <w:tcPr>
            <w:tcW w:w="10137" w:type="dxa"/>
          </w:tcPr>
          <w:p w14:paraId="57AC3FFD" w14:textId="0EB218AB" w:rsidR="003F50FB" w:rsidRPr="00FB5A25" w:rsidRDefault="00F000EA" w:rsidP="00AE2893">
            <w:r>
              <w:t>To</w:t>
            </w:r>
            <w:r w:rsidR="00AE2893">
              <w:t xml:space="preserve"> lead</w:t>
            </w:r>
            <w:r w:rsidR="00A6753A">
              <w:t xml:space="preserve"> the Estates &amp; Facilities </w:t>
            </w:r>
            <w:r w:rsidR="00A02C46">
              <w:t>Programme Management, Business and Su</w:t>
            </w:r>
            <w:r w:rsidR="00ED3F98">
              <w:t xml:space="preserve">pport Services </w:t>
            </w:r>
            <w:r w:rsidR="00A6753A">
              <w:t xml:space="preserve"> function</w:t>
            </w:r>
            <w:r w:rsidR="00ED3F98">
              <w:t>s</w:t>
            </w:r>
            <w:r w:rsidR="00A6753A">
              <w:t xml:space="preserve"> </w:t>
            </w:r>
            <w:r w:rsidR="00360137">
              <w:t xml:space="preserve">enabling and </w:t>
            </w:r>
            <w:r w:rsidR="00A6753A">
              <w:t xml:space="preserve">ensuring that </w:t>
            </w:r>
            <w:r w:rsidR="00360137">
              <w:t xml:space="preserve">world-class Estates &amp; Facilities provision is delivered for the University.  </w:t>
            </w:r>
            <w:r w:rsidR="0030227F">
              <w:t>Providing oversight, governance</w:t>
            </w:r>
            <w:r w:rsidR="00ED3F98">
              <w:t>,</w:t>
            </w:r>
            <w:r w:rsidR="005A3810">
              <w:t xml:space="preserve"> </w:t>
            </w:r>
            <w:r w:rsidR="0030227F">
              <w:t xml:space="preserve">assurance </w:t>
            </w:r>
            <w:r w:rsidR="00ED3F98">
              <w:t xml:space="preserve">and support services across </w:t>
            </w:r>
            <w:r w:rsidR="0030227F">
              <w:t xml:space="preserve">all Estates &amp; Facilities activities including </w:t>
            </w:r>
            <w:r w:rsidR="00FD476D">
              <w:t>estate strategy development, masterplanning, capital projects, estates maintenance</w:t>
            </w:r>
            <w:r w:rsidR="5766AFCB">
              <w:t xml:space="preserve">, H&amp;S and </w:t>
            </w:r>
            <w:r w:rsidR="00FD476D">
              <w:t>compliance, facilities management, property asset management, space management and environmental sustainability.</w:t>
            </w:r>
          </w:p>
          <w:p w14:paraId="15BF088B" w14:textId="5C4B139A" w:rsidR="005D3265" w:rsidRPr="005D3265" w:rsidRDefault="005D3265" w:rsidP="005D3265">
            <w:pPr>
              <w:rPr>
                <w:color w:val="FF0000"/>
              </w:rPr>
            </w:pP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14:paraId="15BF0890" w14:textId="77777777" w:rsidTr="13E7E1DD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280050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280050">
            <w:r>
              <w:t>% Time</w:t>
            </w:r>
          </w:p>
        </w:tc>
      </w:tr>
      <w:tr w:rsidR="00C27CB0" w14:paraId="36CB752A" w14:textId="77777777" w:rsidTr="13E7E1DD">
        <w:trPr>
          <w:cantSplit/>
        </w:trPr>
        <w:tc>
          <w:tcPr>
            <w:tcW w:w="599" w:type="dxa"/>
            <w:tcBorders>
              <w:right w:val="nil"/>
            </w:tcBorders>
          </w:tcPr>
          <w:p w14:paraId="0EF54878" w14:textId="77777777" w:rsidR="00C27CB0" w:rsidRDefault="00C27CB0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5D41E002" w14:textId="77777777" w:rsidR="002632E7" w:rsidRPr="00696F67" w:rsidRDefault="002632E7" w:rsidP="002632E7">
            <w:pPr>
              <w:rPr>
                <w:b/>
                <w:bCs/>
              </w:rPr>
            </w:pPr>
            <w:r w:rsidRPr="00696F67">
              <w:rPr>
                <w:b/>
                <w:bCs/>
              </w:rPr>
              <w:t>Leadership and management</w:t>
            </w:r>
          </w:p>
          <w:p w14:paraId="4CB591A7" w14:textId="77A445DC" w:rsidR="002632E7" w:rsidRDefault="002632E7" w:rsidP="00A533A7">
            <w:pPr>
              <w:pStyle w:val="ListParagraph"/>
              <w:numPr>
                <w:ilvl w:val="0"/>
                <w:numId w:val="25"/>
              </w:numPr>
            </w:pPr>
            <w:r>
              <w:t>Lead</w:t>
            </w:r>
            <w:r w:rsidR="009A77AA">
              <w:t xml:space="preserve"> and manage</w:t>
            </w:r>
            <w:r>
              <w:t xml:space="preserve"> the Programme Management and Business Continuity &amp; Risk Team</w:t>
            </w:r>
            <w:r w:rsidR="009A77AA">
              <w:t>s, as well as</w:t>
            </w:r>
            <w:r>
              <w:t xml:space="preserve"> the Business Support Services and Communication and Information Engagement Teams</w:t>
            </w:r>
            <w:r w:rsidR="009A77AA">
              <w:t xml:space="preserve"> embedded within Estates &amp; Facilities</w:t>
            </w:r>
            <w:r>
              <w:t>.</w:t>
            </w:r>
          </w:p>
          <w:p w14:paraId="2148A30E" w14:textId="180D7AAF" w:rsidR="009A77AA" w:rsidRPr="009A77AA" w:rsidRDefault="009A77AA" w:rsidP="009A77AA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cs="Arial"/>
              </w:rPr>
              <w:t>Lead the Estates Programme Management strategy on</w:t>
            </w:r>
            <w:r w:rsidRPr="00926F4D">
              <w:rPr>
                <w:rFonts w:cs="Arial"/>
              </w:rPr>
              <w:t xml:space="preserve"> procurement and supply chain management</w:t>
            </w:r>
            <w:r>
              <w:rPr>
                <w:rFonts w:cs="Arial"/>
              </w:rPr>
              <w:t>.</w:t>
            </w:r>
          </w:p>
          <w:p w14:paraId="060BE4BB" w14:textId="77777777" w:rsidR="009A77AA" w:rsidRPr="00CB5CEE" w:rsidRDefault="009A77AA" w:rsidP="009A77AA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szCs w:val="18"/>
              </w:rPr>
            </w:pPr>
            <w:r w:rsidRPr="00CB5CEE">
              <w:rPr>
                <w:rFonts w:eastAsia="Lucida Sans" w:cs="Lucida Sans"/>
                <w:color w:val="000000" w:themeColor="text1"/>
              </w:rPr>
              <w:t xml:space="preserve">Line manage direct reports, exercising good people management practices including mentoring, coaching, training, advice and guidance as necessary. </w:t>
            </w:r>
          </w:p>
          <w:p w14:paraId="3FBDA7EA" w14:textId="1F839D1F" w:rsidR="009A77AA" w:rsidRPr="007E5791" w:rsidRDefault="009A77AA" w:rsidP="009A77AA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</w:pPr>
            <w:r>
              <w:t xml:space="preserve">Ensure team resources, team operating model and the professional development and capability of team members are providing a fit for purpose, world-class provision. </w:t>
            </w:r>
          </w:p>
          <w:p w14:paraId="11529774" w14:textId="77777777" w:rsidR="009A77AA" w:rsidRPr="004308F3" w:rsidRDefault="009A77AA" w:rsidP="009A77AA">
            <w:pPr>
              <w:pStyle w:val="ListParagraph"/>
              <w:numPr>
                <w:ilvl w:val="0"/>
                <w:numId w:val="25"/>
              </w:numPr>
              <w:rPr>
                <w:szCs w:val="18"/>
              </w:rPr>
            </w:pPr>
            <w:r w:rsidRPr="00CB5CEE">
              <w:rPr>
                <w:rFonts w:eastAsia="Lucida Sans" w:cs="Lucida Sans"/>
                <w:color w:val="000000" w:themeColor="text1"/>
              </w:rPr>
              <w:t xml:space="preserve">Ensure the right mix of skills and capabilities through continuous professional development, recruitment and performance feedback. Where appropriate work collaboratively to matrix manage a multi-disciplinary team to ensure the delivery of the </w:t>
            </w:r>
            <w:r w:rsidRPr="00CB5CEE">
              <w:rPr>
                <w:rFonts w:eastAsia="Lucida Sans" w:cs="Lucida Sans"/>
              </w:rPr>
              <w:t>University strategy.</w:t>
            </w:r>
          </w:p>
          <w:p w14:paraId="72E9D904" w14:textId="2888F57D" w:rsidR="009A77AA" w:rsidRDefault="009A77AA" w:rsidP="009A77AA">
            <w:pPr>
              <w:pStyle w:val="ListParagraph"/>
              <w:numPr>
                <w:ilvl w:val="0"/>
                <w:numId w:val="25"/>
              </w:numPr>
            </w:pPr>
            <w:r w:rsidRPr="004308F3">
              <w:rPr>
                <w:rFonts w:eastAsia="Segoe UI" w:cs="Segoe UI"/>
              </w:rPr>
              <w:t>To work directly with the team to embed a culture of equality, diversity and inclusion. Ensure the University’s ED&amp;I and people strategy is considered in all decision making, planning and management of the team.</w:t>
            </w:r>
          </w:p>
        </w:tc>
        <w:tc>
          <w:tcPr>
            <w:tcW w:w="1018" w:type="dxa"/>
          </w:tcPr>
          <w:p w14:paraId="10375BDA" w14:textId="2637B902" w:rsidR="00C27CB0" w:rsidRDefault="000B0560" w:rsidP="00280050">
            <w:r>
              <w:t>30%</w:t>
            </w:r>
          </w:p>
        </w:tc>
      </w:tr>
      <w:tr w:rsidR="0012209D" w14:paraId="15BF0894" w14:textId="77777777" w:rsidTr="13E7E1DD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4905FB66" w14:textId="30821658" w:rsidR="009A77AA" w:rsidRPr="00696F67" w:rsidRDefault="009A77AA" w:rsidP="009A77AA">
            <w:pPr>
              <w:rPr>
                <w:b/>
                <w:bCs/>
              </w:rPr>
            </w:pPr>
            <w:r w:rsidRPr="00696F67">
              <w:rPr>
                <w:b/>
                <w:bCs/>
              </w:rPr>
              <w:t>Strategic Planning</w:t>
            </w:r>
            <w:r>
              <w:rPr>
                <w:b/>
                <w:bCs/>
              </w:rPr>
              <w:t xml:space="preserve"> &amp; Governance and Assurance</w:t>
            </w:r>
          </w:p>
          <w:p w14:paraId="058A5D70" w14:textId="77777777" w:rsidR="009A77AA" w:rsidRPr="004308F3" w:rsidRDefault="009A77AA" w:rsidP="009A77AA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t>Working with senior colleagues across Estates &amp; Facilities on strategic planning, including financial</w:t>
            </w:r>
            <w:r w:rsidRPr="004308F3">
              <w:rPr>
                <w:rFonts w:cs="Arial"/>
              </w:rPr>
              <w:t xml:space="preserve"> planning and forecasting; and strategic scheduling of masterplan, capital plans and projects and programme.</w:t>
            </w:r>
          </w:p>
          <w:p w14:paraId="282F3BF3" w14:textId="77777777" w:rsidR="009A77AA" w:rsidRDefault="009A77AA" w:rsidP="009A77AA">
            <w:pPr>
              <w:pStyle w:val="ListParagraph"/>
              <w:numPr>
                <w:ilvl w:val="0"/>
                <w:numId w:val="22"/>
              </w:numPr>
            </w:pPr>
            <w:r>
              <w:t>Leading the quality assurance and benefits realisation process, developing this function</w:t>
            </w:r>
          </w:p>
          <w:p w14:paraId="371B9DD6" w14:textId="77777777" w:rsidR="009A77AA" w:rsidRDefault="009A77AA" w:rsidP="009A77AA">
            <w:pPr>
              <w:pStyle w:val="ListParagraph"/>
              <w:numPr>
                <w:ilvl w:val="0"/>
                <w:numId w:val="22"/>
              </w:numPr>
            </w:pPr>
            <w:r>
              <w:t>to ensure interdependencies between the estates programmes are understood and</w:t>
            </w:r>
          </w:p>
          <w:p w14:paraId="5379A8F4" w14:textId="77777777" w:rsidR="009A77AA" w:rsidRDefault="009A77AA" w:rsidP="009A77AA">
            <w:pPr>
              <w:pStyle w:val="ListParagraph"/>
              <w:numPr>
                <w:ilvl w:val="0"/>
                <w:numId w:val="22"/>
              </w:numPr>
            </w:pPr>
            <w:r>
              <w:t>decision-making at board, portfolio and project level are properly co-ordinated.</w:t>
            </w:r>
          </w:p>
          <w:p w14:paraId="3209C577" w14:textId="77777777" w:rsidR="009A77AA" w:rsidRDefault="009A77AA" w:rsidP="009A77AA">
            <w:pPr>
              <w:pStyle w:val="ListParagraph"/>
              <w:numPr>
                <w:ilvl w:val="0"/>
                <w:numId w:val="22"/>
              </w:numPr>
            </w:pPr>
            <w:r>
              <w:t>Developing processes, polices and best practice for governance, reporting, planning, procurement and supply chain management across Estates &amp; Facilities activities.</w:t>
            </w:r>
          </w:p>
          <w:p w14:paraId="15BF0892" w14:textId="3BF04866" w:rsidR="0012209D" w:rsidRDefault="000B0560" w:rsidP="009A77AA">
            <w:pPr>
              <w:pStyle w:val="ListParagraph"/>
              <w:numPr>
                <w:ilvl w:val="0"/>
                <w:numId w:val="22"/>
              </w:numPr>
            </w:pPr>
            <w:r>
              <w:t>P</w:t>
            </w:r>
            <w:r w:rsidR="005D66F8">
              <w:t xml:space="preserve">rovide </w:t>
            </w:r>
            <w:r w:rsidR="00B37F31">
              <w:t xml:space="preserve">high levels of </w:t>
            </w:r>
            <w:r w:rsidR="008C7611">
              <w:t xml:space="preserve">oversight, </w:t>
            </w:r>
            <w:r w:rsidR="00B37F31">
              <w:t>governance</w:t>
            </w:r>
            <w:r w:rsidR="0015765D">
              <w:t xml:space="preserve">, </w:t>
            </w:r>
            <w:r w:rsidR="00B37F31">
              <w:t xml:space="preserve">assurance </w:t>
            </w:r>
            <w:r w:rsidR="0015765D">
              <w:t xml:space="preserve">and corporate management </w:t>
            </w:r>
            <w:r w:rsidR="00B37F31">
              <w:t>across all Estates &amp; Facilities activities.</w:t>
            </w:r>
          </w:p>
        </w:tc>
        <w:tc>
          <w:tcPr>
            <w:tcW w:w="1018" w:type="dxa"/>
          </w:tcPr>
          <w:p w14:paraId="15BF0893" w14:textId="75547FC7" w:rsidR="0012209D" w:rsidRDefault="000B0560" w:rsidP="00280050">
            <w:r>
              <w:t>20%</w:t>
            </w:r>
          </w:p>
        </w:tc>
      </w:tr>
      <w:tr w:rsidR="0012209D" w14:paraId="15BF0898" w14:textId="77777777" w:rsidTr="13E7E1DD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0FA9A4BA" w14:textId="77777777" w:rsidR="000B0560" w:rsidRPr="004308F3" w:rsidRDefault="000B0560" w:rsidP="000B0560">
            <w:pPr>
              <w:rPr>
                <w:b/>
                <w:bCs/>
              </w:rPr>
            </w:pPr>
            <w:r w:rsidRPr="004308F3">
              <w:rPr>
                <w:b/>
                <w:bCs/>
              </w:rPr>
              <w:t>Communications and Information Engagement</w:t>
            </w:r>
          </w:p>
          <w:p w14:paraId="7A212BD7" w14:textId="77777777" w:rsidR="000B0560" w:rsidRDefault="000B0560" w:rsidP="000B0560">
            <w:pPr>
              <w:pStyle w:val="ListParagraph"/>
              <w:numPr>
                <w:ilvl w:val="0"/>
                <w:numId w:val="24"/>
              </w:numPr>
            </w:pPr>
            <w:r>
              <w:t xml:space="preserve">Through the Communications and Information Engagement function to act as Estates &amp; Facilities interface with other university support functions including HR, Student Services, Communications &amp; Marketing, iSolutions and Faculty Operating Service. </w:t>
            </w:r>
          </w:p>
          <w:p w14:paraId="15BF0896" w14:textId="1439D1EA" w:rsidR="0012209D" w:rsidRDefault="000B0560" w:rsidP="000B0560">
            <w:pPr>
              <w:pStyle w:val="ListParagraph"/>
              <w:numPr>
                <w:ilvl w:val="0"/>
                <w:numId w:val="24"/>
              </w:numPr>
            </w:pPr>
            <w:r>
              <w:t>To ensure that the Communications and Information Engagement function development and implements proacti</w:t>
            </w:r>
            <w:r w:rsidR="005A3810">
              <w:t>v</w:t>
            </w:r>
            <w:r>
              <w:t>e communications strategies across all Estates &amp; Facilities activities, taking into account students, staff, visitors and partners.</w:t>
            </w:r>
          </w:p>
        </w:tc>
        <w:tc>
          <w:tcPr>
            <w:tcW w:w="1018" w:type="dxa"/>
          </w:tcPr>
          <w:p w14:paraId="15BF0897" w14:textId="34EA09A9" w:rsidR="0012209D" w:rsidRDefault="000B0560" w:rsidP="00280050">
            <w:r>
              <w:t>15%</w:t>
            </w:r>
          </w:p>
        </w:tc>
      </w:tr>
      <w:tr w:rsidR="00696F67" w14:paraId="6DC8A8A2" w14:textId="77777777" w:rsidTr="13E7E1DD">
        <w:trPr>
          <w:cantSplit/>
        </w:trPr>
        <w:tc>
          <w:tcPr>
            <w:tcW w:w="599" w:type="dxa"/>
            <w:tcBorders>
              <w:right w:val="nil"/>
            </w:tcBorders>
          </w:tcPr>
          <w:p w14:paraId="40AF1FC7" w14:textId="77777777" w:rsidR="00696F67" w:rsidRDefault="00696F67" w:rsidP="00B37F31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F377175" w14:textId="77777777" w:rsidR="000B0560" w:rsidRPr="004308F3" w:rsidRDefault="000B0560" w:rsidP="000B0560">
            <w:pPr>
              <w:rPr>
                <w:b/>
                <w:bCs/>
              </w:rPr>
            </w:pPr>
            <w:r w:rsidRPr="004308F3">
              <w:rPr>
                <w:b/>
                <w:bCs/>
              </w:rPr>
              <w:t>Business Support Services</w:t>
            </w:r>
          </w:p>
          <w:p w14:paraId="3D088599" w14:textId="77777777" w:rsidR="000B0560" w:rsidRDefault="000B0560" w:rsidP="000B0560">
            <w:pPr>
              <w:pStyle w:val="ListParagraph"/>
              <w:numPr>
                <w:ilvl w:val="0"/>
                <w:numId w:val="26"/>
              </w:numPr>
            </w:pPr>
            <w:r>
              <w:t>Responsible for ensuring the development and delivery of high performing support services across the Estates &amp; Facilities Department, including:</w:t>
            </w:r>
          </w:p>
          <w:p w14:paraId="0AFA0E3C" w14:textId="77777777" w:rsidR="000B0560" w:rsidRDefault="000B0560" w:rsidP="000B0560">
            <w:pPr>
              <w:pStyle w:val="ListParagraph"/>
              <w:numPr>
                <w:ilvl w:val="0"/>
                <w:numId w:val="26"/>
              </w:numPr>
            </w:pPr>
            <w:r>
              <w:t>Administration</w:t>
            </w:r>
          </w:p>
          <w:p w14:paraId="3843BA7B" w14:textId="77777777" w:rsidR="005A3810" w:rsidRDefault="000B0560" w:rsidP="000B0560">
            <w:pPr>
              <w:pStyle w:val="ListParagraph"/>
              <w:numPr>
                <w:ilvl w:val="0"/>
                <w:numId w:val="26"/>
              </w:numPr>
            </w:pPr>
            <w:r>
              <w:t>IT systems implementation and management</w:t>
            </w:r>
          </w:p>
          <w:p w14:paraId="1962DA88" w14:textId="0562BEF0" w:rsidR="000B0560" w:rsidRDefault="000B0560" w:rsidP="000B0560">
            <w:pPr>
              <w:pStyle w:val="ListParagraph"/>
              <w:numPr>
                <w:ilvl w:val="0"/>
                <w:numId w:val="26"/>
              </w:numPr>
            </w:pPr>
            <w:r>
              <w:t>Analytics and Reporting</w:t>
            </w:r>
          </w:p>
        </w:tc>
        <w:tc>
          <w:tcPr>
            <w:tcW w:w="1018" w:type="dxa"/>
          </w:tcPr>
          <w:p w14:paraId="00664098" w14:textId="1A9CBFC6" w:rsidR="00696F67" w:rsidRDefault="000B0560" w:rsidP="00B37F31">
            <w:r>
              <w:t>10%</w:t>
            </w:r>
          </w:p>
        </w:tc>
      </w:tr>
      <w:tr w:rsidR="00696F67" w14:paraId="1CD6D4B3" w14:textId="77777777" w:rsidTr="13E7E1DD">
        <w:trPr>
          <w:cantSplit/>
        </w:trPr>
        <w:tc>
          <w:tcPr>
            <w:tcW w:w="599" w:type="dxa"/>
            <w:tcBorders>
              <w:right w:val="nil"/>
            </w:tcBorders>
          </w:tcPr>
          <w:p w14:paraId="163341DC" w14:textId="77777777" w:rsidR="00696F67" w:rsidRDefault="00696F67" w:rsidP="00B37F31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942AAC0" w14:textId="77777777" w:rsidR="000B0560" w:rsidRPr="00696F67" w:rsidRDefault="000B0560" w:rsidP="000B0560">
            <w:pPr>
              <w:rPr>
                <w:b/>
                <w:bCs/>
              </w:rPr>
            </w:pPr>
            <w:r w:rsidRPr="00696F67">
              <w:rPr>
                <w:b/>
                <w:bCs/>
              </w:rPr>
              <w:t>Data management and Reporting</w:t>
            </w:r>
          </w:p>
          <w:p w14:paraId="47724B52" w14:textId="1A77EDDD" w:rsidR="000B0560" w:rsidRDefault="000B0560" w:rsidP="000B0560">
            <w:pPr>
              <w:pStyle w:val="ListParagraph"/>
              <w:numPr>
                <w:ilvl w:val="0"/>
                <w:numId w:val="28"/>
              </w:numPr>
            </w:pPr>
            <w:r>
              <w:t>Leading the Estates  Programme Management function to collate and analyse data to report</w:t>
            </w:r>
            <w:r w:rsidRPr="00A16329">
              <w:t xml:space="preserve"> on estates activities</w:t>
            </w:r>
            <w:r>
              <w:t xml:space="preserve"> </w:t>
            </w:r>
            <w:r w:rsidRPr="00A16329">
              <w:t>across a diverse range of projects and programmes</w:t>
            </w:r>
            <w:r>
              <w:t xml:space="preserve"> including capital projects, strategic and reactive maintenance, facilities management, compliance and sustainability.</w:t>
            </w:r>
          </w:p>
        </w:tc>
        <w:tc>
          <w:tcPr>
            <w:tcW w:w="1018" w:type="dxa"/>
          </w:tcPr>
          <w:p w14:paraId="06C05DB0" w14:textId="60D1C549" w:rsidR="00696F67" w:rsidRDefault="000B0560" w:rsidP="000B0560">
            <w:pPr>
              <w:spacing w:line="360" w:lineRule="auto"/>
            </w:pPr>
            <w:r>
              <w:t>10%</w:t>
            </w:r>
          </w:p>
        </w:tc>
      </w:tr>
      <w:tr w:rsidR="003B0854" w14:paraId="567DB108" w14:textId="77777777" w:rsidTr="13E7E1DD">
        <w:trPr>
          <w:cantSplit/>
        </w:trPr>
        <w:tc>
          <w:tcPr>
            <w:tcW w:w="599" w:type="dxa"/>
            <w:tcBorders>
              <w:right w:val="nil"/>
            </w:tcBorders>
          </w:tcPr>
          <w:p w14:paraId="1E3D80C3" w14:textId="77777777" w:rsidR="003B0854" w:rsidRDefault="003B0854" w:rsidP="003B085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5D96F38C" w14:textId="77777777" w:rsidR="003B0854" w:rsidRPr="007E5791" w:rsidRDefault="003B0854" w:rsidP="000B0560">
            <w:pPr>
              <w:overflowPunct/>
              <w:autoSpaceDE/>
              <w:autoSpaceDN/>
              <w:adjustRightInd/>
              <w:spacing w:before="0" w:after="0" w:line="259" w:lineRule="auto"/>
              <w:jc w:val="both"/>
              <w:textAlignment w:val="auto"/>
              <w:rPr>
                <w:b/>
                <w:bCs/>
              </w:rPr>
            </w:pPr>
            <w:r w:rsidRPr="007E5791">
              <w:rPr>
                <w:b/>
                <w:bCs/>
              </w:rPr>
              <w:t xml:space="preserve">Stakeholder Engagement </w:t>
            </w:r>
          </w:p>
          <w:p w14:paraId="030A3208" w14:textId="10242CAD" w:rsidR="003B0854" w:rsidRPr="00CB5CEE" w:rsidRDefault="003B0854" w:rsidP="003B0854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rStyle w:val="normaltextrun"/>
                <w:b/>
                <w:bCs/>
              </w:rPr>
            </w:pPr>
            <w:r w:rsidRPr="00CB5CEE">
              <w:rPr>
                <w:rStyle w:val="normaltextrun"/>
                <w:rFonts w:cs="Calibri"/>
                <w:color w:val="000000" w:themeColor="text1"/>
              </w:rPr>
              <w:t>Represent the University’s interests with relevant bodies including the commercial suppliers and delivery partners</w:t>
            </w:r>
            <w:r w:rsidR="000B0560">
              <w:rPr>
                <w:rStyle w:val="normaltextrun"/>
                <w:rFonts w:cs="Calibri"/>
                <w:color w:val="000000" w:themeColor="text1"/>
              </w:rPr>
              <w:t>, local councils and governing bodies, as appropriate</w:t>
            </w:r>
            <w:r w:rsidRPr="00CB5CEE">
              <w:rPr>
                <w:rStyle w:val="normaltextrun"/>
                <w:rFonts w:cs="Calibri"/>
                <w:color w:val="000000" w:themeColor="text1"/>
              </w:rPr>
              <w:t xml:space="preserve">.  </w:t>
            </w:r>
          </w:p>
          <w:p w14:paraId="388183EB" w14:textId="31B8435A" w:rsidR="003B0854" w:rsidRPr="000B0560" w:rsidRDefault="003B0854" w:rsidP="000B0560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0" w:after="160" w:line="259" w:lineRule="auto"/>
              <w:jc w:val="both"/>
              <w:textAlignment w:val="auto"/>
              <w:rPr>
                <w:b/>
                <w:bCs/>
              </w:rPr>
            </w:pPr>
            <w:r w:rsidRPr="00CB5CEE">
              <w:rPr>
                <w:color w:val="000000"/>
              </w:rPr>
              <w:t>Work collaboratively with academic and professional services colleagues, to ensure that the physical infrastructure and physical environment are fit for purpose, fit for the future, and highly student focussed.</w:t>
            </w:r>
          </w:p>
        </w:tc>
        <w:tc>
          <w:tcPr>
            <w:tcW w:w="1018" w:type="dxa"/>
          </w:tcPr>
          <w:p w14:paraId="5BAEA85C" w14:textId="4C27C43F" w:rsidR="003B0854" w:rsidRDefault="000B0560" w:rsidP="003B0854">
            <w:r>
              <w:t>10%</w:t>
            </w:r>
          </w:p>
        </w:tc>
      </w:tr>
      <w:tr w:rsidR="003B0854" w14:paraId="02C51BD6" w14:textId="77777777" w:rsidTr="13E7E1DD">
        <w:trPr>
          <w:cantSplit/>
        </w:trPr>
        <w:tc>
          <w:tcPr>
            <w:tcW w:w="599" w:type="dxa"/>
            <w:tcBorders>
              <w:right w:val="nil"/>
            </w:tcBorders>
          </w:tcPr>
          <w:p w14:paraId="6979F6BB" w14:textId="77777777" w:rsidR="003B0854" w:rsidRDefault="003B0854" w:rsidP="003B085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06FB577A" w14:textId="2952BB21" w:rsidR="003B0854" w:rsidRPr="005A3810" w:rsidRDefault="003B0854" w:rsidP="003B0854">
            <w:pPr>
              <w:rPr>
                <w:rFonts w:eastAsia="Lucida Sans" w:cs="Lucida Sans"/>
                <w:color w:val="000000" w:themeColor="text1"/>
              </w:rPr>
            </w:pPr>
            <w:r w:rsidRPr="007E5791">
              <w:t>Any other duties as allocated by the line manager following consultation with the post holder.</w:t>
            </w:r>
            <w:r w:rsidR="005A3810">
              <w:t xml:space="preserve"> This may include </w:t>
            </w:r>
            <w:r w:rsidR="005A3810">
              <w:rPr>
                <w:rFonts w:eastAsia="Lucida Sans" w:cs="Lucida Sans"/>
                <w:color w:val="000000" w:themeColor="text1"/>
              </w:rPr>
              <w:t>acting</w:t>
            </w:r>
            <w:r w:rsidR="005A3810" w:rsidRPr="007E5791">
              <w:rPr>
                <w:rFonts w:eastAsia="Lucida Sans" w:cs="Lucida Sans"/>
                <w:color w:val="000000" w:themeColor="text1"/>
              </w:rPr>
              <w:t xml:space="preserve"> as Deputy Executive Director, accepting delegation of</w:t>
            </w:r>
            <w:r w:rsidR="005A3810">
              <w:rPr>
                <w:rFonts w:eastAsia="Lucida Sans" w:cs="Lucida Sans"/>
                <w:color w:val="000000" w:themeColor="text1"/>
              </w:rPr>
              <w:t xml:space="preserve"> the</w:t>
            </w:r>
            <w:r w:rsidR="005A3810" w:rsidRPr="007E5791">
              <w:rPr>
                <w:rFonts w:eastAsia="Lucida Sans" w:cs="Lucida Sans"/>
                <w:color w:val="000000" w:themeColor="text1"/>
              </w:rPr>
              <w:t xml:space="preserve"> Executive Director’s role at their request, representing the department at the most senior level both internally and externally. </w:t>
            </w:r>
          </w:p>
        </w:tc>
        <w:tc>
          <w:tcPr>
            <w:tcW w:w="1018" w:type="dxa"/>
          </w:tcPr>
          <w:p w14:paraId="73579A3D" w14:textId="7CF0D69D" w:rsidR="003B0854" w:rsidRDefault="009A77AA" w:rsidP="003B0854">
            <w:r>
              <w:t>5</w:t>
            </w:r>
            <w:r w:rsidR="003B0854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280050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280050">
        <w:trPr>
          <w:trHeight w:val="1134"/>
        </w:trPr>
        <w:tc>
          <w:tcPr>
            <w:tcW w:w="10137" w:type="dxa"/>
          </w:tcPr>
          <w:p w14:paraId="65FF69F5" w14:textId="19FA2A6B" w:rsidR="00385622" w:rsidRDefault="00385622" w:rsidP="00C31B06">
            <w:r>
              <w:t>Departmental and University senior management</w:t>
            </w:r>
          </w:p>
          <w:p w14:paraId="562C97A2" w14:textId="7076D018" w:rsidR="00C31B06" w:rsidRDefault="00C31B06" w:rsidP="00C31B06">
            <w:r>
              <w:t xml:space="preserve">Other members of </w:t>
            </w:r>
            <w:r w:rsidR="00385622">
              <w:t>the department/University staff</w:t>
            </w:r>
          </w:p>
          <w:p w14:paraId="3B84DD12" w14:textId="77777777" w:rsidR="00467596" w:rsidRDefault="00C31B06" w:rsidP="00C31B06">
            <w:r>
              <w:t>External customers</w:t>
            </w:r>
          </w:p>
          <w:p w14:paraId="15BF08B0" w14:textId="7321DC6B" w:rsidR="00C31B06" w:rsidRDefault="00C31B06" w:rsidP="00C31B06">
            <w:r>
              <w:t>Relevant suppliers and external contacts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280050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280050">
            <w:r>
              <w:lastRenderedPageBreak/>
              <w:t>Special Requirements</w:t>
            </w:r>
          </w:p>
        </w:tc>
      </w:tr>
      <w:tr w:rsidR="00343D93" w14:paraId="0C44D04E" w14:textId="77777777" w:rsidTr="00280050">
        <w:trPr>
          <w:trHeight w:val="1134"/>
        </w:trPr>
        <w:tc>
          <w:tcPr>
            <w:tcW w:w="10137" w:type="dxa"/>
          </w:tcPr>
          <w:p w14:paraId="6DA5CA0A" w14:textId="15E879F7" w:rsidR="00343D93" w:rsidRDefault="00343D93" w:rsidP="00343D93"/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63"/>
        <w:gridCol w:w="3335"/>
        <w:gridCol w:w="1316"/>
      </w:tblGrid>
      <w:tr w:rsidR="00013C10" w14:paraId="15BF08BA" w14:textId="77777777" w:rsidTr="13E7E1DD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280050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280050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280050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280050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13E7E1DD">
        <w:tc>
          <w:tcPr>
            <w:tcW w:w="1617" w:type="dxa"/>
          </w:tcPr>
          <w:p w14:paraId="15BF08BB" w14:textId="21456655" w:rsidR="00013C10" w:rsidRPr="00FD5B0E" w:rsidRDefault="00013C10" w:rsidP="00280050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6D4B5434" w14:textId="446D2DC1" w:rsidR="00C67C55" w:rsidRPr="00980F18" w:rsidRDefault="00F000EA" w:rsidP="13E7E1DD">
            <w:pPr>
              <w:spacing w:after="90"/>
            </w:pPr>
            <w:r>
              <w:t>Skill level equivalent to achievement o</w:t>
            </w:r>
            <w:r w:rsidRPr="13E7E1DD">
              <w:t>f a professional quali</w:t>
            </w:r>
            <w:r w:rsidR="1A5CB755" w:rsidRPr="13E7E1DD">
              <w:t xml:space="preserve">fication or postgraduate degree </w:t>
            </w:r>
            <w:r w:rsidR="4DE878D5" w:rsidRPr="13E7E1DD">
              <w:t xml:space="preserve">in programme or commercial </w:t>
            </w:r>
            <w:r w:rsidR="562722DE" w:rsidRPr="13E7E1DD">
              <w:t>assurance/</w:t>
            </w:r>
            <w:r w:rsidR="4DE878D5" w:rsidRPr="13E7E1DD">
              <w:t>management</w:t>
            </w:r>
          </w:p>
          <w:p w14:paraId="5C33024D" w14:textId="77777777" w:rsidR="00191D29" w:rsidRDefault="00191D29" w:rsidP="13E7E1DD">
            <w:pPr>
              <w:spacing w:after="90"/>
            </w:pPr>
          </w:p>
          <w:p w14:paraId="0A26B7CE" w14:textId="03EDFDEC" w:rsidR="00EE350A" w:rsidRDefault="00F000EA" w:rsidP="13E7E1DD">
            <w:pPr>
              <w:spacing w:after="90"/>
            </w:pPr>
            <w:r w:rsidRPr="13E7E1DD">
              <w:t>Proven leadership experience in a range of demanding and influential roles.</w:t>
            </w:r>
          </w:p>
          <w:p w14:paraId="756A23D8" w14:textId="77777777" w:rsidR="00191D29" w:rsidRDefault="00191D29" w:rsidP="13E7E1DD">
            <w:pPr>
              <w:spacing w:after="90"/>
            </w:pPr>
          </w:p>
          <w:p w14:paraId="55E75CD7" w14:textId="23D9CBBF" w:rsidR="007A4C5B" w:rsidRDefault="453DF73B" w:rsidP="13E7E1DD">
            <w:pPr>
              <w:spacing w:after="90"/>
            </w:pPr>
            <w:r w:rsidRPr="13E7E1DD">
              <w:t>Demonstrable industry experience in a programme and commercial management role ensuring governance, assurance and performance management in a property or estates management environment.</w:t>
            </w:r>
          </w:p>
          <w:p w14:paraId="4A2C62DE" w14:textId="77777777" w:rsidR="00191D29" w:rsidRDefault="00191D29" w:rsidP="13E7E1DD">
            <w:pPr>
              <w:spacing w:after="90"/>
            </w:pPr>
          </w:p>
          <w:p w14:paraId="7AE115E0" w14:textId="4C96A45D" w:rsidR="00191D29" w:rsidRDefault="34118B3A" w:rsidP="13E7E1DD">
            <w:pPr>
              <w:spacing w:after="90"/>
            </w:pPr>
            <w:r w:rsidRPr="13E7E1DD">
              <w:t>Experience of programme management and reporting on projects and programmes from a commercial and risk assurance perspective.</w:t>
            </w:r>
          </w:p>
          <w:p w14:paraId="64CDF757" w14:textId="77777777" w:rsidR="00191D29" w:rsidRDefault="00191D29" w:rsidP="13E7E1DD">
            <w:pPr>
              <w:spacing w:after="90"/>
            </w:pPr>
          </w:p>
          <w:p w14:paraId="34390742" w14:textId="4D02F6DC" w:rsidR="00191D29" w:rsidRDefault="3A85A762" w:rsidP="13E7E1DD">
            <w:pPr>
              <w:spacing w:after="90"/>
            </w:pPr>
            <w:r w:rsidRPr="13E7E1DD">
              <w:t>Experience of procurement and supply chain management in the construction and estates industry.</w:t>
            </w:r>
          </w:p>
          <w:p w14:paraId="15BF08BC" w14:textId="334D218A" w:rsidR="00C67C55" w:rsidRDefault="00C67C55" w:rsidP="00F000EA">
            <w:pPr>
              <w:spacing w:after="90"/>
            </w:pPr>
          </w:p>
        </w:tc>
        <w:tc>
          <w:tcPr>
            <w:tcW w:w="3402" w:type="dxa"/>
          </w:tcPr>
          <w:p w14:paraId="30D82E17" w14:textId="54DFA189" w:rsidR="00CA7432" w:rsidRDefault="1A5CB755" w:rsidP="00AE2893">
            <w:pPr>
              <w:spacing w:after="90"/>
            </w:pPr>
            <w:r>
              <w:t>Memb</w:t>
            </w:r>
            <w:r w:rsidRPr="13E7E1DD">
              <w:t xml:space="preserve">ership of relevant professional body </w:t>
            </w:r>
            <w:r w:rsidR="562722DE" w:rsidRPr="13E7E1DD">
              <w:t>such as APM, RICS</w:t>
            </w:r>
            <w:r w:rsidR="63B8C22B" w:rsidRPr="13E7E1DD">
              <w:t>, ICE etc.</w:t>
            </w:r>
          </w:p>
          <w:p w14:paraId="5DDB78BD" w14:textId="6E0AB533" w:rsidR="13E7E1DD" w:rsidRDefault="13E7E1DD" w:rsidP="13E7E1DD">
            <w:pPr>
              <w:spacing w:after="90"/>
            </w:pPr>
          </w:p>
          <w:p w14:paraId="24BF2D55" w14:textId="77777777" w:rsidR="004D4966" w:rsidRDefault="00AE2893" w:rsidP="00AE2893">
            <w:pPr>
              <w:spacing w:after="90"/>
            </w:pPr>
            <w:r w:rsidRPr="00AE2893">
              <w:t>PRINCE2 or similar project management qualification.</w:t>
            </w:r>
          </w:p>
          <w:p w14:paraId="2A86EB91" w14:textId="77777777" w:rsidR="0024146C" w:rsidRDefault="0024146C" w:rsidP="00AE2893">
            <w:pPr>
              <w:spacing w:after="90"/>
            </w:pPr>
          </w:p>
          <w:p w14:paraId="15BF08BD" w14:textId="29F96DEC" w:rsidR="0024146C" w:rsidRDefault="0024146C" w:rsidP="00AE2893">
            <w:pPr>
              <w:spacing w:after="90"/>
            </w:pPr>
            <w:r>
              <w:t>Experience of working in an environment with similar characteristics (estates, processes, stakeholders) to those found at the University.</w:t>
            </w:r>
          </w:p>
        </w:tc>
        <w:tc>
          <w:tcPr>
            <w:tcW w:w="1330" w:type="dxa"/>
          </w:tcPr>
          <w:p w14:paraId="15BF08BE" w14:textId="77777777" w:rsidR="00013C10" w:rsidRDefault="00013C10" w:rsidP="00343D93">
            <w:pPr>
              <w:spacing w:after="90"/>
            </w:pPr>
          </w:p>
        </w:tc>
      </w:tr>
      <w:tr w:rsidR="00013C10" w14:paraId="15BF08C4" w14:textId="77777777" w:rsidTr="13E7E1DD">
        <w:tc>
          <w:tcPr>
            <w:tcW w:w="1617" w:type="dxa"/>
          </w:tcPr>
          <w:p w14:paraId="15BF08C0" w14:textId="577DFD9E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46B804E9" w:rsidR="00C83F50" w:rsidRDefault="00F000EA" w:rsidP="00702D64">
            <w:pPr>
              <w:spacing w:after="90"/>
            </w:pPr>
            <w:r w:rsidRPr="00F000EA">
              <w:t>Able to champion and oversee the Department’s contribution to the university’s strategy and to lead on the Department’s strategies and plans.</w:t>
            </w:r>
          </w:p>
        </w:tc>
        <w:tc>
          <w:tcPr>
            <w:tcW w:w="3402" w:type="dxa"/>
          </w:tcPr>
          <w:p w14:paraId="15BF08C2" w14:textId="6FC4BC5F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013C10" w:rsidRDefault="00013C10" w:rsidP="00343D93">
            <w:pPr>
              <w:spacing w:after="90"/>
            </w:pPr>
          </w:p>
        </w:tc>
      </w:tr>
      <w:tr w:rsidR="00013C10" w14:paraId="15BF08C9" w14:textId="77777777" w:rsidTr="13E7E1DD">
        <w:tc>
          <w:tcPr>
            <w:tcW w:w="1617" w:type="dxa"/>
          </w:tcPr>
          <w:p w14:paraId="15BF08C5" w14:textId="21DBF709" w:rsidR="00013C10" w:rsidRPr="00FD5B0E" w:rsidRDefault="00013C10" w:rsidP="00280050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6017FF3B" w14:textId="77777777" w:rsidR="00F000EA" w:rsidRDefault="00F000EA" w:rsidP="00F000EA">
            <w:pPr>
              <w:spacing w:after="90"/>
            </w:pPr>
            <w:r>
              <w:t>Able to make judgements on significant new problems where precedent may not apply.</w:t>
            </w:r>
          </w:p>
          <w:p w14:paraId="64091A2A" w14:textId="77777777" w:rsidR="00F000EA" w:rsidRDefault="00F000EA" w:rsidP="00F000EA">
            <w:pPr>
              <w:spacing w:after="90"/>
            </w:pPr>
          </w:p>
          <w:p w14:paraId="15BF08C6" w14:textId="16C022F0" w:rsidR="004D4966" w:rsidRDefault="00F000EA" w:rsidP="00F000EA">
            <w:pPr>
              <w:spacing w:after="90"/>
            </w:pPr>
            <w:r>
              <w:t>Able to develop innovative solutions and practical implementations for strategic change.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013C10" w:rsidRDefault="00013C10" w:rsidP="00343D93">
            <w:pPr>
              <w:spacing w:after="90"/>
            </w:pPr>
          </w:p>
        </w:tc>
      </w:tr>
      <w:tr w:rsidR="00013C10" w14:paraId="15BF08CE" w14:textId="77777777" w:rsidTr="13E7E1DD">
        <w:tc>
          <w:tcPr>
            <w:tcW w:w="1617" w:type="dxa"/>
          </w:tcPr>
          <w:p w14:paraId="15BF08CA" w14:textId="221E4483" w:rsidR="00013C10" w:rsidRPr="00FD5B0E" w:rsidRDefault="00013C10" w:rsidP="00280050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58216BE0" w14:textId="77777777" w:rsidR="00F000EA" w:rsidRDefault="00F000EA" w:rsidP="00F000EA">
            <w:pPr>
              <w:spacing w:after="90"/>
            </w:pPr>
            <w:r>
              <w:t>Able to implement successful change management initiatives and formulate strategic plans that reflect and support the priority needs of the university.</w:t>
            </w:r>
          </w:p>
          <w:p w14:paraId="0FB35267" w14:textId="77777777" w:rsidR="00F000EA" w:rsidRDefault="00F000EA" w:rsidP="00F000EA">
            <w:pPr>
              <w:spacing w:after="90"/>
            </w:pPr>
          </w:p>
          <w:p w14:paraId="153442B9" w14:textId="75350FFD" w:rsidR="00F000EA" w:rsidRDefault="00F000EA" w:rsidP="00F000EA">
            <w:pPr>
              <w:spacing w:after="90"/>
            </w:pPr>
            <w:r>
              <w:t>Able to recognise and deal with obstacles and difficulties so that teams can deliver.</w:t>
            </w:r>
          </w:p>
          <w:p w14:paraId="05B4EB48" w14:textId="77777777" w:rsidR="00F000EA" w:rsidRDefault="00F000EA" w:rsidP="00F000EA">
            <w:pPr>
              <w:spacing w:after="90"/>
            </w:pPr>
          </w:p>
          <w:p w14:paraId="15BF08CB" w14:textId="6D6CE5B3" w:rsidR="00C83F50" w:rsidRDefault="00F000EA" w:rsidP="00F000EA">
            <w:pPr>
              <w:spacing w:after="90"/>
            </w:pPr>
            <w:r>
              <w:t>Able to demonstrate leadership and to raise performance standards throughout own work areas.</w:t>
            </w:r>
          </w:p>
        </w:tc>
        <w:tc>
          <w:tcPr>
            <w:tcW w:w="3402" w:type="dxa"/>
          </w:tcPr>
          <w:p w14:paraId="15BF08CC" w14:textId="2CB1C38C" w:rsidR="00013C10" w:rsidRDefault="00013C10" w:rsidP="00057DE4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013C10" w:rsidRDefault="00013C10" w:rsidP="00343D93">
            <w:pPr>
              <w:spacing w:after="90"/>
            </w:pPr>
          </w:p>
        </w:tc>
      </w:tr>
      <w:tr w:rsidR="00013C10" w14:paraId="15BF08D3" w14:textId="77777777" w:rsidTr="13E7E1DD">
        <w:tc>
          <w:tcPr>
            <w:tcW w:w="1617" w:type="dxa"/>
          </w:tcPr>
          <w:p w14:paraId="15BF08CF" w14:textId="6952AC8B" w:rsidR="00013C10" w:rsidRPr="00FD5B0E" w:rsidRDefault="00013C10" w:rsidP="00280050">
            <w:r w:rsidRPr="00FD5B0E">
              <w:lastRenderedPageBreak/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6440423A" w14:textId="77777777" w:rsidR="00F000EA" w:rsidRDefault="00F000EA" w:rsidP="00F000EA">
            <w:pPr>
              <w:spacing w:after="90"/>
            </w:pPr>
            <w:r>
              <w:t>Able to establish and build major relationships with key stakeholders.</w:t>
            </w:r>
          </w:p>
          <w:p w14:paraId="4EA28095" w14:textId="77777777" w:rsidR="00F000EA" w:rsidRDefault="00F000EA" w:rsidP="00F000EA">
            <w:pPr>
              <w:spacing w:after="90"/>
            </w:pPr>
          </w:p>
          <w:p w14:paraId="15BF08D0" w14:textId="0A5088F3" w:rsidR="00C83F50" w:rsidRDefault="00F000EA" w:rsidP="00F000EA">
            <w:pPr>
              <w:spacing w:after="90"/>
            </w:pPr>
            <w:r>
              <w:t>Able to use influence to develop positions or strategies.</w:t>
            </w:r>
          </w:p>
        </w:tc>
        <w:tc>
          <w:tcPr>
            <w:tcW w:w="3402" w:type="dxa"/>
          </w:tcPr>
          <w:p w14:paraId="15BF08D1" w14:textId="6F8313F9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013C10" w:rsidRDefault="00013C10" w:rsidP="00343D93">
            <w:pPr>
              <w:spacing w:after="90"/>
            </w:pPr>
          </w:p>
        </w:tc>
      </w:tr>
      <w:tr w:rsidR="00013C10" w14:paraId="15BF08D8" w14:textId="77777777" w:rsidTr="13E7E1DD">
        <w:tc>
          <w:tcPr>
            <w:tcW w:w="1617" w:type="dxa"/>
          </w:tcPr>
          <w:p w14:paraId="15BF08D4" w14:textId="30CBF678" w:rsidR="00013C10" w:rsidRPr="00FD5B0E" w:rsidRDefault="00013C10" w:rsidP="00280050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0A930B12" w14:textId="77777777" w:rsidR="00AE2893" w:rsidRDefault="00AE2893" w:rsidP="00AE2893">
            <w:pPr>
              <w:spacing w:after="90"/>
            </w:pPr>
            <w:r>
              <w:t>Ability to lead and manage change through an organisation</w:t>
            </w:r>
          </w:p>
          <w:p w14:paraId="461C78B9" w14:textId="77777777" w:rsidR="00AE2893" w:rsidRDefault="00AE2893" w:rsidP="00AE2893">
            <w:pPr>
              <w:spacing w:after="90"/>
            </w:pPr>
          </w:p>
          <w:p w14:paraId="15BF08D5" w14:textId="4D501A1D" w:rsidR="00013C10" w:rsidRDefault="00AE2893" w:rsidP="00AE2893">
            <w:pPr>
              <w:spacing w:after="90"/>
            </w:pPr>
            <w:r>
              <w:t>Able to demonstrate alignment with the University’s core values in all areas of work, and champion those behaviours in the Department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013C10" w:rsidRDefault="00013C10" w:rsidP="00343D93">
            <w:pPr>
              <w:spacing w:after="90"/>
            </w:pPr>
          </w:p>
        </w:tc>
      </w:tr>
      <w:tr w:rsidR="00013C10" w14:paraId="15BF08DD" w14:textId="77777777" w:rsidTr="13E7E1DD">
        <w:tc>
          <w:tcPr>
            <w:tcW w:w="1617" w:type="dxa"/>
          </w:tcPr>
          <w:p w14:paraId="15BF08D9" w14:textId="77777777" w:rsidR="00013C10" w:rsidRPr="00FD5B0E" w:rsidRDefault="00013C10" w:rsidP="00280050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10E93AE8" w:rsidR="00013C10" w:rsidRDefault="00013C10" w:rsidP="00343D93">
            <w:pPr>
              <w:spacing w:after="90"/>
            </w:pP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1721A230" w:rsidR="00D3349E" w:rsidRDefault="008310F4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66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8310F4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280050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280050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280050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280050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280050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280050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280050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280050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280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280050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280050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280050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280050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280050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280050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280050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280050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280050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280050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CC20" w14:textId="77777777" w:rsidR="00F906E2" w:rsidRDefault="00F906E2">
      <w:r>
        <w:separator/>
      </w:r>
    </w:p>
    <w:p w14:paraId="1491D70C" w14:textId="77777777" w:rsidR="00F906E2" w:rsidRDefault="00F906E2"/>
  </w:endnote>
  <w:endnote w:type="continuationSeparator" w:id="0">
    <w:p w14:paraId="521D4EB0" w14:textId="77777777" w:rsidR="00F906E2" w:rsidRDefault="00F906E2">
      <w:r>
        <w:continuationSeparator/>
      </w:r>
    </w:p>
    <w:p w14:paraId="49609F36" w14:textId="77777777" w:rsidR="00F906E2" w:rsidRDefault="00F906E2"/>
  </w:endnote>
  <w:endnote w:type="continuationNotice" w:id="1">
    <w:p w14:paraId="0B807E72" w14:textId="77777777" w:rsidR="00F906E2" w:rsidRDefault="00F906E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6886A682" w:rsidR="00062768" w:rsidRDefault="00586957" w:rsidP="00FE47BF">
    <w:pPr>
      <w:pStyle w:val="ContinuationFooter"/>
    </w:pPr>
    <w:r>
      <w:t xml:space="preserve">Director of Programme Management, Business &amp; Support Services - </w:t>
    </w:r>
    <w:r w:rsidR="00467596">
      <w:t>MSA</w:t>
    </w:r>
    <w:r w:rsidR="00746AEB">
      <w:t xml:space="preserve"> Level </w:t>
    </w:r>
    <w:r w:rsidR="00AE2893">
      <w:t>7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CD78B9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6B50" w14:textId="77777777" w:rsidR="00F906E2" w:rsidRDefault="00F906E2">
      <w:r>
        <w:separator/>
      </w:r>
    </w:p>
    <w:p w14:paraId="2791A412" w14:textId="77777777" w:rsidR="00F906E2" w:rsidRDefault="00F906E2"/>
  </w:footnote>
  <w:footnote w:type="continuationSeparator" w:id="0">
    <w:p w14:paraId="2F6A7845" w14:textId="77777777" w:rsidR="00F906E2" w:rsidRDefault="00F906E2">
      <w:r>
        <w:continuationSeparator/>
      </w:r>
    </w:p>
    <w:p w14:paraId="2294B0DB" w14:textId="77777777" w:rsidR="00F906E2" w:rsidRDefault="00F906E2"/>
  </w:footnote>
  <w:footnote w:type="continuationNotice" w:id="1">
    <w:p w14:paraId="754ACE1E" w14:textId="77777777" w:rsidR="00F906E2" w:rsidRDefault="00F906E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8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68"/>
    </w:tblGrid>
    <w:tr w:rsidR="00062768" w14:paraId="15BF0981" w14:textId="77777777" w:rsidTr="00CD78B9">
      <w:trPr>
        <w:trHeight w:hRule="exact" w:val="83"/>
      </w:trPr>
      <w:tc>
        <w:tcPr>
          <w:tcW w:w="9668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CD78B9">
      <w:trPr>
        <w:trHeight w:val="436"/>
      </w:trPr>
      <w:tc>
        <w:tcPr>
          <w:tcW w:w="9668" w:type="dxa"/>
        </w:tcPr>
        <w:p w14:paraId="15BF0982" w14:textId="04AF3CC3" w:rsidR="00062768" w:rsidRDefault="00586957" w:rsidP="0029789A">
          <w:pPr>
            <w:pStyle w:val="Header"/>
            <w:jc w:val="right"/>
          </w:pPr>
          <w:r w:rsidRPr="00FD6643">
            <w:rPr>
              <w:noProof/>
            </w:rPr>
            <w:drawing>
              <wp:inline distT="0" distB="0" distL="0" distR="0" wp14:anchorId="51BAB026" wp14:editId="02047B33">
                <wp:extent cx="1936115" cy="409834"/>
                <wp:effectExtent l="0" t="0" r="6985" b="9525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316" cy="41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5537BE6B" w:rsidR="0005274A" w:rsidRPr="0005274A" w:rsidRDefault="00F84583" w:rsidP="00CD78B9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42E4"/>
    <w:multiLevelType w:val="hybridMultilevel"/>
    <w:tmpl w:val="3D24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92C"/>
    <w:multiLevelType w:val="hybridMultilevel"/>
    <w:tmpl w:val="06A6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993"/>
    <w:multiLevelType w:val="hybridMultilevel"/>
    <w:tmpl w:val="4F34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930B75"/>
    <w:multiLevelType w:val="hybridMultilevel"/>
    <w:tmpl w:val="8498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D3468"/>
    <w:multiLevelType w:val="hybridMultilevel"/>
    <w:tmpl w:val="6D82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E04BF"/>
    <w:multiLevelType w:val="hybridMultilevel"/>
    <w:tmpl w:val="884A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4A0148"/>
    <w:multiLevelType w:val="hybridMultilevel"/>
    <w:tmpl w:val="964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61A2D51"/>
    <w:multiLevelType w:val="hybridMultilevel"/>
    <w:tmpl w:val="7108E146"/>
    <w:lvl w:ilvl="0" w:tplc="CEFE9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85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C4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E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6A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64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CC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E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2D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E0627BA"/>
    <w:multiLevelType w:val="hybridMultilevel"/>
    <w:tmpl w:val="77D8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2A09A3"/>
    <w:multiLevelType w:val="hybridMultilevel"/>
    <w:tmpl w:val="C554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401760">
    <w:abstractNumId w:val="26"/>
  </w:num>
  <w:num w:numId="2" w16cid:durableId="1733037089">
    <w:abstractNumId w:val="0"/>
  </w:num>
  <w:num w:numId="3" w16cid:durableId="1497189201">
    <w:abstractNumId w:val="20"/>
  </w:num>
  <w:num w:numId="4" w16cid:durableId="1773431568">
    <w:abstractNumId w:val="12"/>
  </w:num>
  <w:num w:numId="5" w16cid:durableId="829249502">
    <w:abstractNumId w:val="13"/>
  </w:num>
  <w:num w:numId="6" w16cid:durableId="1597250814">
    <w:abstractNumId w:val="10"/>
  </w:num>
  <w:num w:numId="7" w16cid:durableId="1847479330">
    <w:abstractNumId w:val="5"/>
  </w:num>
  <w:num w:numId="8" w16cid:durableId="2069959061">
    <w:abstractNumId w:val="7"/>
  </w:num>
  <w:num w:numId="9" w16cid:durableId="142936270">
    <w:abstractNumId w:val="3"/>
  </w:num>
  <w:num w:numId="10" w16cid:durableId="188760432">
    <w:abstractNumId w:val="11"/>
  </w:num>
  <w:num w:numId="11" w16cid:durableId="1897400239">
    <w:abstractNumId w:val="6"/>
  </w:num>
  <w:num w:numId="12" w16cid:durableId="770126661">
    <w:abstractNumId w:val="21"/>
  </w:num>
  <w:num w:numId="13" w16cid:durableId="74480629">
    <w:abstractNumId w:val="23"/>
  </w:num>
  <w:num w:numId="14" w16cid:durableId="2016875868">
    <w:abstractNumId w:val="9"/>
  </w:num>
  <w:num w:numId="15" w16cid:durableId="301081714">
    <w:abstractNumId w:val="4"/>
  </w:num>
  <w:num w:numId="16" w16cid:durableId="1107383945">
    <w:abstractNumId w:val="17"/>
  </w:num>
  <w:num w:numId="17" w16cid:durableId="284819728">
    <w:abstractNumId w:val="19"/>
  </w:num>
  <w:num w:numId="18" w16cid:durableId="84807829">
    <w:abstractNumId w:val="25"/>
  </w:num>
  <w:num w:numId="19" w16cid:durableId="533807975">
    <w:abstractNumId w:val="2"/>
  </w:num>
  <w:num w:numId="20" w16cid:durableId="1012102150">
    <w:abstractNumId w:val="22"/>
  </w:num>
  <w:num w:numId="21" w16cid:durableId="1602104651">
    <w:abstractNumId w:val="14"/>
  </w:num>
  <w:num w:numId="22" w16cid:durableId="1639140092">
    <w:abstractNumId w:val="24"/>
  </w:num>
  <w:num w:numId="23" w16cid:durableId="795753280">
    <w:abstractNumId w:val="15"/>
  </w:num>
  <w:num w:numId="24" w16cid:durableId="182792851">
    <w:abstractNumId w:val="18"/>
  </w:num>
  <w:num w:numId="25" w16cid:durableId="1315454376">
    <w:abstractNumId w:val="8"/>
  </w:num>
  <w:num w:numId="26" w16cid:durableId="576398461">
    <w:abstractNumId w:val="1"/>
  </w:num>
  <w:num w:numId="27" w16cid:durableId="548959549">
    <w:abstractNumId w:val="27"/>
  </w:num>
  <w:num w:numId="28" w16cid:durableId="69658828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14CB"/>
    <w:rsid w:val="0005274A"/>
    <w:rsid w:val="00057DE4"/>
    <w:rsid w:val="00062768"/>
    <w:rsid w:val="00063081"/>
    <w:rsid w:val="00071653"/>
    <w:rsid w:val="000824F4"/>
    <w:rsid w:val="000978E8"/>
    <w:rsid w:val="000A0445"/>
    <w:rsid w:val="000A2F06"/>
    <w:rsid w:val="000B0560"/>
    <w:rsid w:val="000B1DED"/>
    <w:rsid w:val="000B4E5A"/>
    <w:rsid w:val="000E4663"/>
    <w:rsid w:val="00102BCB"/>
    <w:rsid w:val="0012209D"/>
    <w:rsid w:val="001239A0"/>
    <w:rsid w:val="001532E2"/>
    <w:rsid w:val="00156CBF"/>
    <w:rsid w:val="00156F2F"/>
    <w:rsid w:val="0015765D"/>
    <w:rsid w:val="00171D2A"/>
    <w:rsid w:val="0018144C"/>
    <w:rsid w:val="001840EA"/>
    <w:rsid w:val="00191D29"/>
    <w:rsid w:val="001B6986"/>
    <w:rsid w:val="001C5C5C"/>
    <w:rsid w:val="001D0B37"/>
    <w:rsid w:val="001D5201"/>
    <w:rsid w:val="001E24BE"/>
    <w:rsid w:val="00205458"/>
    <w:rsid w:val="00236BFE"/>
    <w:rsid w:val="00241441"/>
    <w:rsid w:val="0024146C"/>
    <w:rsid w:val="0024539C"/>
    <w:rsid w:val="00252992"/>
    <w:rsid w:val="00254722"/>
    <w:rsid w:val="002547F5"/>
    <w:rsid w:val="00260333"/>
    <w:rsid w:val="00260B1D"/>
    <w:rsid w:val="002632E7"/>
    <w:rsid w:val="00266C6A"/>
    <w:rsid w:val="00280050"/>
    <w:rsid w:val="0028509A"/>
    <w:rsid w:val="00287575"/>
    <w:rsid w:val="0029789A"/>
    <w:rsid w:val="002A70BE"/>
    <w:rsid w:val="002C6198"/>
    <w:rsid w:val="002D0B41"/>
    <w:rsid w:val="002D4DF4"/>
    <w:rsid w:val="002D6D3C"/>
    <w:rsid w:val="002E7C28"/>
    <w:rsid w:val="0030227F"/>
    <w:rsid w:val="00312C9E"/>
    <w:rsid w:val="00313CC8"/>
    <w:rsid w:val="003178D9"/>
    <w:rsid w:val="003207F7"/>
    <w:rsid w:val="00323B91"/>
    <w:rsid w:val="00333DAF"/>
    <w:rsid w:val="0034151E"/>
    <w:rsid w:val="00343D93"/>
    <w:rsid w:val="0035237B"/>
    <w:rsid w:val="00355C12"/>
    <w:rsid w:val="00360137"/>
    <w:rsid w:val="00364B2C"/>
    <w:rsid w:val="003701F7"/>
    <w:rsid w:val="00385622"/>
    <w:rsid w:val="003A2001"/>
    <w:rsid w:val="003B0262"/>
    <w:rsid w:val="003B0854"/>
    <w:rsid w:val="003B7540"/>
    <w:rsid w:val="003D50E1"/>
    <w:rsid w:val="003F50FB"/>
    <w:rsid w:val="004022C1"/>
    <w:rsid w:val="004263FE"/>
    <w:rsid w:val="004308F3"/>
    <w:rsid w:val="004446D8"/>
    <w:rsid w:val="00463797"/>
    <w:rsid w:val="00467596"/>
    <w:rsid w:val="00474D00"/>
    <w:rsid w:val="004B2A50"/>
    <w:rsid w:val="004C0252"/>
    <w:rsid w:val="004D4966"/>
    <w:rsid w:val="0051744C"/>
    <w:rsid w:val="00524005"/>
    <w:rsid w:val="00525C5B"/>
    <w:rsid w:val="00541CE0"/>
    <w:rsid w:val="005455B4"/>
    <w:rsid w:val="005534E1"/>
    <w:rsid w:val="00573487"/>
    <w:rsid w:val="00573785"/>
    <w:rsid w:val="00580CBF"/>
    <w:rsid w:val="00583CFB"/>
    <w:rsid w:val="00586957"/>
    <w:rsid w:val="005907B3"/>
    <w:rsid w:val="005949FA"/>
    <w:rsid w:val="005A3810"/>
    <w:rsid w:val="005B68D5"/>
    <w:rsid w:val="005D3265"/>
    <w:rsid w:val="005D44D1"/>
    <w:rsid w:val="005D66F8"/>
    <w:rsid w:val="005E2800"/>
    <w:rsid w:val="00601F61"/>
    <w:rsid w:val="00617FAD"/>
    <w:rsid w:val="00620796"/>
    <w:rsid w:val="006249FD"/>
    <w:rsid w:val="00636C6C"/>
    <w:rsid w:val="006457FD"/>
    <w:rsid w:val="00651280"/>
    <w:rsid w:val="0065560D"/>
    <w:rsid w:val="00671F76"/>
    <w:rsid w:val="00680547"/>
    <w:rsid w:val="00683FBD"/>
    <w:rsid w:val="00695D76"/>
    <w:rsid w:val="00696F67"/>
    <w:rsid w:val="006B1AF6"/>
    <w:rsid w:val="006F44EB"/>
    <w:rsid w:val="00702D64"/>
    <w:rsid w:val="0070376B"/>
    <w:rsid w:val="00707EB8"/>
    <w:rsid w:val="007100FC"/>
    <w:rsid w:val="007254E2"/>
    <w:rsid w:val="00745357"/>
    <w:rsid w:val="00746AEB"/>
    <w:rsid w:val="00753CF4"/>
    <w:rsid w:val="00756837"/>
    <w:rsid w:val="00761108"/>
    <w:rsid w:val="00791076"/>
    <w:rsid w:val="0079197B"/>
    <w:rsid w:val="00791A2A"/>
    <w:rsid w:val="007A4C5B"/>
    <w:rsid w:val="007A5F08"/>
    <w:rsid w:val="007C22CC"/>
    <w:rsid w:val="007C3708"/>
    <w:rsid w:val="007C6F53"/>
    <w:rsid w:val="007C6FAA"/>
    <w:rsid w:val="007E2D19"/>
    <w:rsid w:val="007F2AEA"/>
    <w:rsid w:val="00813365"/>
    <w:rsid w:val="00813A2C"/>
    <w:rsid w:val="0082020C"/>
    <w:rsid w:val="0082075E"/>
    <w:rsid w:val="0083083D"/>
    <w:rsid w:val="008310F4"/>
    <w:rsid w:val="008443D8"/>
    <w:rsid w:val="008449D9"/>
    <w:rsid w:val="00854B1E"/>
    <w:rsid w:val="00856B8A"/>
    <w:rsid w:val="00876272"/>
    <w:rsid w:val="00883499"/>
    <w:rsid w:val="00885FD1"/>
    <w:rsid w:val="008961F9"/>
    <w:rsid w:val="008C7611"/>
    <w:rsid w:val="008D52C9"/>
    <w:rsid w:val="008F03C7"/>
    <w:rsid w:val="009064A9"/>
    <w:rsid w:val="009419A4"/>
    <w:rsid w:val="009450D5"/>
    <w:rsid w:val="00945F4B"/>
    <w:rsid w:val="009464AF"/>
    <w:rsid w:val="00954E47"/>
    <w:rsid w:val="00961105"/>
    <w:rsid w:val="00965BFB"/>
    <w:rsid w:val="00967DA7"/>
    <w:rsid w:val="00970E28"/>
    <w:rsid w:val="009720D8"/>
    <w:rsid w:val="00980F18"/>
    <w:rsid w:val="0098120F"/>
    <w:rsid w:val="00996476"/>
    <w:rsid w:val="009A12A3"/>
    <w:rsid w:val="009A3CD2"/>
    <w:rsid w:val="009A77AA"/>
    <w:rsid w:val="009C1EC5"/>
    <w:rsid w:val="00A021B7"/>
    <w:rsid w:val="00A02C46"/>
    <w:rsid w:val="00A07431"/>
    <w:rsid w:val="00A131D9"/>
    <w:rsid w:val="00A13A80"/>
    <w:rsid w:val="00A14888"/>
    <w:rsid w:val="00A16329"/>
    <w:rsid w:val="00A23226"/>
    <w:rsid w:val="00A34296"/>
    <w:rsid w:val="00A521A9"/>
    <w:rsid w:val="00A6753A"/>
    <w:rsid w:val="00A7244A"/>
    <w:rsid w:val="00A925C0"/>
    <w:rsid w:val="00AA3CB5"/>
    <w:rsid w:val="00AC0646"/>
    <w:rsid w:val="00AC2B17"/>
    <w:rsid w:val="00AC71CB"/>
    <w:rsid w:val="00AE1CA0"/>
    <w:rsid w:val="00AE2893"/>
    <w:rsid w:val="00AE39DC"/>
    <w:rsid w:val="00AE4DC4"/>
    <w:rsid w:val="00AF0C5B"/>
    <w:rsid w:val="00B02F38"/>
    <w:rsid w:val="00B24075"/>
    <w:rsid w:val="00B37F31"/>
    <w:rsid w:val="00B430BB"/>
    <w:rsid w:val="00B84C12"/>
    <w:rsid w:val="00BB4A42"/>
    <w:rsid w:val="00BB7845"/>
    <w:rsid w:val="00BD093C"/>
    <w:rsid w:val="00BF0321"/>
    <w:rsid w:val="00BF1CC6"/>
    <w:rsid w:val="00C17FDD"/>
    <w:rsid w:val="00C27CB0"/>
    <w:rsid w:val="00C31B06"/>
    <w:rsid w:val="00C67C55"/>
    <w:rsid w:val="00C83F50"/>
    <w:rsid w:val="00C907D0"/>
    <w:rsid w:val="00C91C64"/>
    <w:rsid w:val="00CA7432"/>
    <w:rsid w:val="00CB1F23"/>
    <w:rsid w:val="00CC744A"/>
    <w:rsid w:val="00CD04F0"/>
    <w:rsid w:val="00CD159C"/>
    <w:rsid w:val="00CD2CD8"/>
    <w:rsid w:val="00CD78B9"/>
    <w:rsid w:val="00CE3A26"/>
    <w:rsid w:val="00CE4042"/>
    <w:rsid w:val="00D16D9D"/>
    <w:rsid w:val="00D17C25"/>
    <w:rsid w:val="00D3349E"/>
    <w:rsid w:val="00D50678"/>
    <w:rsid w:val="00D52DD8"/>
    <w:rsid w:val="00D54AA2"/>
    <w:rsid w:val="00D55315"/>
    <w:rsid w:val="00D5587F"/>
    <w:rsid w:val="00D65B56"/>
    <w:rsid w:val="00D67D41"/>
    <w:rsid w:val="00D73BB9"/>
    <w:rsid w:val="00D86883"/>
    <w:rsid w:val="00DC1CE3"/>
    <w:rsid w:val="00DC4386"/>
    <w:rsid w:val="00DE553C"/>
    <w:rsid w:val="00E01106"/>
    <w:rsid w:val="00E25775"/>
    <w:rsid w:val="00E264FD"/>
    <w:rsid w:val="00E363B8"/>
    <w:rsid w:val="00E37792"/>
    <w:rsid w:val="00E63AC1"/>
    <w:rsid w:val="00E96015"/>
    <w:rsid w:val="00EB589D"/>
    <w:rsid w:val="00EC3B59"/>
    <w:rsid w:val="00ED2E52"/>
    <w:rsid w:val="00ED3F98"/>
    <w:rsid w:val="00EE13FB"/>
    <w:rsid w:val="00EE350A"/>
    <w:rsid w:val="00EF630D"/>
    <w:rsid w:val="00F000EA"/>
    <w:rsid w:val="00F01EA0"/>
    <w:rsid w:val="00F135E0"/>
    <w:rsid w:val="00F212BA"/>
    <w:rsid w:val="00F26173"/>
    <w:rsid w:val="00F33207"/>
    <w:rsid w:val="00F37125"/>
    <w:rsid w:val="00F378D2"/>
    <w:rsid w:val="00F470C9"/>
    <w:rsid w:val="00F56FF5"/>
    <w:rsid w:val="00F64743"/>
    <w:rsid w:val="00F825E7"/>
    <w:rsid w:val="00F84583"/>
    <w:rsid w:val="00F85DED"/>
    <w:rsid w:val="00F906E2"/>
    <w:rsid w:val="00F90F90"/>
    <w:rsid w:val="00FB5A25"/>
    <w:rsid w:val="00FB7297"/>
    <w:rsid w:val="00FC2ADA"/>
    <w:rsid w:val="00FD476D"/>
    <w:rsid w:val="00FE18C5"/>
    <w:rsid w:val="00FE47BF"/>
    <w:rsid w:val="00FF140B"/>
    <w:rsid w:val="00FF246F"/>
    <w:rsid w:val="13E7E1DD"/>
    <w:rsid w:val="1A5CB755"/>
    <w:rsid w:val="2018E644"/>
    <w:rsid w:val="34118B3A"/>
    <w:rsid w:val="38CFCC57"/>
    <w:rsid w:val="3A85A762"/>
    <w:rsid w:val="453DF73B"/>
    <w:rsid w:val="4DE878D5"/>
    <w:rsid w:val="562722DE"/>
    <w:rsid w:val="5766AFCB"/>
    <w:rsid w:val="63B8C22B"/>
    <w:rsid w:val="6BA53741"/>
    <w:rsid w:val="771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23F2E740-F6AC-46EB-A9BA-E3D23B8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normaltextrun">
    <w:name w:val="normaltextrun"/>
    <w:basedOn w:val="DefaultParagraphFont"/>
    <w:rsid w:val="009C1EC5"/>
  </w:style>
  <w:style w:type="character" w:customStyle="1" w:styleId="eop">
    <w:name w:val="eop"/>
    <w:basedOn w:val="DefaultParagraphFont"/>
    <w:rsid w:val="009C1EC5"/>
  </w:style>
  <w:style w:type="paragraph" w:styleId="Revision">
    <w:name w:val="Revision"/>
    <w:hidden/>
    <w:uiPriority w:val="99"/>
    <w:semiHidden/>
    <w:rsid w:val="000514CB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D3BB2BD593E4B88EC1DB5F3DC6A0D" ma:contentTypeVersion="6" ma:contentTypeDescription="Create a new document." ma:contentTypeScope="" ma:versionID="3509e9cae8a5f12bf10e6c651f5dd412">
  <xsd:schema xmlns:xsd="http://www.w3.org/2001/XMLSchema" xmlns:xs="http://www.w3.org/2001/XMLSchema" xmlns:p="http://schemas.microsoft.com/office/2006/metadata/properties" xmlns:ns2="b8794486-00ff-456d-86dc-1acc005481b9" xmlns:ns3="5d63cb45-c787-4f93-9371-1c1bf3d52148" targetNamespace="http://schemas.microsoft.com/office/2006/metadata/properties" ma:root="true" ma:fieldsID="ff1bd3122ecfe8c9d81bf0a2dbeccfad" ns2:_="" ns3:_="">
    <xsd:import namespace="b8794486-00ff-456d-86dc-1acc005481b9"/>
    <xsd:import namespace="5d63cb45-c787-4f93-9371-1c1bf3d52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94486-00ff-456d-86dc-1acc00548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cb45-c787-4f93-9371-1c1bf3d52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0AFB4-B591-42A2-A7F8-B2AC0457C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94486-00ff-456d-86dc-1acc005481b9"/>
    <ds:schemaRef ds:uri="5d63cb45-c787-4f93-9371-1c1bf3d52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purl.org/dc/terms/"/>
    <ds:schemaRef ds:uri="5d63cb45-c787-4f93-9371-1c1bf3d52148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8794486-00ff-456d-86dc-1acc005481b9"/>
  </ds:schemaRefs>
</ds:datastoreItem>
</file>

<file path=customXml/itemProps4.xml><?xml version="1.0" encoding="utf-8"?>
<ds:datastoreItem xmlns:ds="http://schemas.openxmlformats.org/officeDocument/2006/customXml" ds:itemID="{81E309C7-68EF-493B-A367-F3387539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Professional Specialist Area</vt:lpstr>
    </vt:vector>
  </TitlesOfParts>
  <Company>Southampton University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Professional Specialist Area</dc:title>
  <dc:subject/>
  <dc:creator>Newton-Woof K.</dc:creator>
  <cp:keywords>V0.1</cp:keywords>
  <cp:lastModifiedBy>Luke Kelly</cp:lastModifiedBy>
  <cp:revision>9</cp:revision>
  <cp:lastPrinted>2008-01-14T17:11:00Z</cp:lastPrinted>
  <dcterms:created xsi:type="dcterms:W3CDTF">2024-03-19T09:59:00Z</dcterms:created>
  <dcterms:modified xsi:type="dcterms:W3CDTF">2024-03-28T16:03:00Z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0x010100864D3BB2BD593E4B88EC1DB5F3DC6A0D</vt:lpwstr>
  </property>
  <property fmtid="{D5CDD505-2E9C-101B-9397-08002B2CF9AE}" pid="3" name="GrammarlyDocumentId">
    <vt:lpwstr>21d71abc9107e5ba3254ba4f008f83b32b2f29248e5fb761f371ff4c7026664e</vt:lpwstr>
  </property>
  <property fmtid="{D5CDD505-2E9C-101B-9397-08002B2CF9AE}" pid="4" name="MediaServiceImageTags">
    <vt:lpwstr/>
  </property>
  <property fmtid="{D5CDD505-2E9C-101B-9397-08002B2CF9AE}" pid="5" name="Order">
    <vt:r8>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